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70"/>
        <w:gridCol w:w="4818"/>
      </w:tblGrid>
      <w:tr>
        <w:tblPrEx/>
        <w:trPr/>
        <w:tc>
          <w:tcPr>
            <w:tcW w:w="5070" w:type="dxa"/>
            <w:textDirection w:val="lrTb"/>
            <w:noWrap w:val="false"/>
          </w:tcPr>
          <w:p>
            <w:pPr>
              <w:pStyle w:val="851"/>
              <w:jc w:val="right"/>
            </w:pPr>
            <w:r/>
            <w:r/>
          </w:p>
        </w:tc>
        <w:tc>
          <w:tcPr>
            <w:tcW w:w="4818" w:type="dxa"/>
            <w:textDirection w:val="lrTb"/>
            <w:noWrap w:val="false"/>
          </w:tcPr>
          <w:p>
            <w:pPr>
              <w:pStyle w:val="851"/>
            </w:pPr>
            <w:r>
              <w:rPr>
                <w:bCs/>
                <w:sz w:val="24"/>
                <w:szCs w:val="24"/>
              </w:rPr>
              <w:t xml:space="preserve">Приложение № 1</w:t>
            </w:r>
            <w:r/>
          </w:p>
          <w:p>
            <w:pPr>
              <w:pStyle w:val="851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информационному сообщению о проведении продажи государственного имущества Костромской области посредством публичного предложения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851"/>
            </w:pP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в электронной форме</w:t>
            </w:r>
            <w:r/>
          </w:p>
        </w:tc>
      </w:tr>
    </w:tbl>
    <w:p>
      <w:pPr>
        <w:pStyle w:val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1"/>
        <w:jc w:val="center"/>
        <w:rPr>
          <w:b/>
          <w:sz w:val="28"/>
          <w:szCs w:val="28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774700" cy="1524000"/>
                <wp:effectExtent l="0" t="0" r="0" b="0"/>
                <wp:docPr id="1" name="Изображение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Изображение1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774700" cy="15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61.00pt;height:120.00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ИМУЩЕСТВЕННЫХ И ЗЕМЕЛЬНЫХ ОТНОШЕНИЙ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КОСТРОМСКОЙ ОБЛАСТИ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РАСПОРЯЖЕНИЕ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1"/>
        <w:jc w:val="center"/>
        <w:shd w:val="clear" w:color="ffffff" w:fill="ffffff" w:themeFill="background1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от 15.12.2025 года № </w:t>
      </w:r>
      <w:r>
        <w:rPr>
          <w:sz w:val="28"/>
          <w:szCs w:val="28"/>
          <w:highlight w:val="white"/>
        </w:rPr>
        <w:t xml:space="preserve">1131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pStyle w:val="851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Кострома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условиях приватизации находящегося в государственной собственности Костромской области имущества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1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51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 декабря 2001 года                              № 178-ФЗ «О приватизации государственного и муниципального имущества»,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Федеральным законом от 25 июня 2002 года № 73-ФЗ                  «Об объектах культурного наследи</w:t>
      </w:r>
      <w:r>
        <w:rPr>
          <w:sz w:val="28"/>
          <w:szCs w:val="28"/>
        </w:rPr>
        <w:t xml:space="preserve">я (памятниках истории и культуры) народов Российской Федер</w:t>
      </w:r>
      <w:r>
        <w:rPr>
          <w:sz w:val="28"/>
          <w:szCs w:val="28"/>
        </w:rPr>
        <w:t xml:space="preserve">ации»,</w:t>
      </w:r>
      <w:r>
        <w:rPr>
          <w:sz w:val="28"/>
          <w:szCs w:val="28"/>
        </w:rPr>
        <w:t xml:space="preserve"> Законом Костромской области                      от 27 июня 2008 года </w:t>
      </w:r>
      <w:r>
        <w:rPr>
          <w:sz w:val="28"/>
          <w:szCs w:val="28"/>
        </w:rPr>
        <w:t xml:space="preserve">№ 335-4-ЗКО «О приватизации государственного </w:t>
      </w:r>
      <w:r>
        <w:rPr>
          <w:sz w:val="28"/>
          <w:szCs w:val="28"/>
        </w:rPr>
        <w:t xml:space="preserve">имущества Костромской области», </w:t>
      </w:r>
      <w:r>
        <w:rPr>
          <w:sz w:val="28"/>
          <w:szCs w:val="28"/>
        </w:rPr>
        <w:t xml:space="preserve">пост</w:t>
      </w:r>
      <w:r>
        <w:rPr>
          <w:sz w:val="28"/>
          <w:szCs w:val="28"/>
        </w:rPr>
        <w:t xml:space="preserve">ановлением Костромской областной Думы от 24 ноября 2022 года № 579 «О программе приватизации государственного имущества Костром</w:t>
      </w:r>
      <w:r>
        <w:rPr>
          <w:sz w:val="28"/>
          <w:szCs w:val="28"/>
        </w:rPr>
        <w:t xml:space="preserve">ской области на             2023-2025 годы»,</w:t>
      </w:r>
      <w:r>
        <w:rPr>
          <w:sz w:val="28"/>
          <w:szCs w:val="28"/>
        </w:rPr>
        <w:t xml:space="preserve"> пос</w:t>
      </w:r>
      <w:r>
        <w:rPr>
          <w:sz w:val="28"/>
          <w:szCs w:val="28"/>
        </w:rPr>
        <w:t xml:space="preserve">тановлением администрации Костромской области от 15 авгу</w:t>
      </w:r>
      <w:r>
        <w:rPr>
          <w:sz w:val="28"/>
          <w:szCs w:val="28"/>
        </w:rPr>
        <w:t xml:space="preserve">ста 2011 года № 300-а «О поручении исполнительным органам Костромской области осуществлять полномочия от имени администрации Костромской области в сфере управлени</w:t>
      </w:r>
      <w:r>
        <w:rPr>
          <w:sz w:val="28"/>
          <w:szCs w:val="28"/>
        </w:rPr>
        <w:t xml:space="preserve">я и распоряжения государственным имуществом Костромской </w:t>
      </w:r>
      <w:r>
        <w:rPr>
          <w:sz w:val="28"/>
          <w:szCs w:val="28"/>
        </w:rPr>
        <w:t xml:space="preserve">области», положением о департаменте имущественных и земельных отношений Костромской области, утвержденным постановлением губернатора Костромской области от 29 мая 2015 года № 96 «О департаменте имущес</w:t>
      </w:r>
      <w:r>
        <w:rPr>
          <w:sz w:val="28"/>
          <w:szCs w:val="28"/>
        </w:rPr>
        <w:t xml:space="preserve">твенных и земельных отношений Костромской области»,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приватизации государственного имущества Костромс</w:t>
      </w:r>
      <w:r>
        <w:rPr>
          <w:sz w:val="28"/>
          <w:szCs w:val="28"/>
        </w:rPr>
        <w:t xml:space="preserve">кой области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протокол от 26 ноября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 года </w:t>
      </w:r>
      <w:r>
        <w:rPr>
          <w:sz w:val="28"/>
          <w:szCs w:val="28"/>
        </w:rPr>
        <w:t xml:space="preserve">№ 7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</w:t>
      </w:r>
      <w:r>
        <w:rPr>
          <w:sz w:val="28"/>
          <w:szCs w:val="28"/>
        </w:rPr>
        <w:t xml:space="preserve">ерд</w:t>
      </w:r>
      <w:r>
        <w:rPr>
          <w:sz w:val="28"/>
          <w:szCs w:val="28"/>
        </w:rPr>
        <w:t xml:space="preserve">ить </w:t>
      </w:r>
      <w:r>
        <w:rPr>
          <w:sz w:val="28"/>
          <w:szCs w:val="28"/>
        </w:rPr>
        <w:t xml:space="preserve">условия </w:t>
      </w:r>
      <w:r>
        <w:rPr>
          <w:sz w:val="28"/>
          <w:szCs w:val="28"/>
        </w:rPr>
        <w:t xml:space="preserve">приватизац</w:t>
      </w:r>
      <w:r>
        <w:rPr>
          <w:sz w:val="28"/>
          <w:szCs w:val="28"/>
        </w:rPr>
        <w:t xml:space="preserve">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находящегося в государственной собственности Костромской области имущества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комплекс </w:t>
      </w:r>
      <w:r>
        <w:rPr>
          <w:sz w:val="28"/>
          <w:szCs w:val="28"/>
        </w:rPr>
        <w:t xml:space="preserve">объектов</w:t>
      </w:r>
      <w:r>
        <w:rPr>
          <w:sz w:val="28"/>
          <w:szCs w:val="28"/>
        </w:rPr>
        <w:t xml:space="preserve">: нежилое здан</w:t>
      </w:r>
      <w:r>
        <w:rPr>
          <w:sz w:val="28"/>
          <w:szCs w:val="28"/>
        </w:rPr>
        <w:t xml:space="preserve">ие (объект культурного наследия регионального значения «</w:t>
      </w:r>
      <w:r>
        <w:rPr>
          <w:sz w:val="28"/>
          <w:szCs w:val="28"/>
        </w:rPr>
        <w:t xml:space="preserve">Ансамбль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 xml:space="preserve">XIX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в.: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Здание женской гимназии. Здесь была создана первая комсомольская ячейка», 2-я четв. XIX</w:t>
      </w:r>
      <w:r>
        <w:rPr>
          <w:sz w:val="28"/>
          <w:szCs w:val="28"/>
        </w:rPr>
        <w:t xml:space="preserve"> - 80-е гг. XIX в.; </w:t>
      </w:r>
      <w:r>
        <w:rPr>
          <w:sz w:val="28"/>
          <w:szCs w:val="28"/>
        </w:rPr>
        <w:t xml:space="preserve">1919 г.), назначение: нежилое, </w:t>
      </w:r>
      <w:r>
        <w:rPr>
          <w:sz w:val="28"/>
          <w:szCs w:val="28"/>
        </w:rPr>
        <w:t xml:space="preserve">площадь 1373,3 кв.м, кадастровый номер 44:13:140316:97; здание мастерских (объект культурног</w:t>
      </w:r>
      <w:r>
        <w:rPr>
          <w:sz w:val="28"/>
          <w:szCs w:val="28"/>
        </w:rPr>
        <w:t xml:space="preserve">о наследия регионального значения «</w:t>
      </w:r>
      <w:r>
        <w:rPr>
          <w:sz w:val="28"/>
          <w:szCs w:val="28"/>
        </w:rPr>
        <w:t xml:space="preserve">Ансамбль,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XIX в.: </w:t>
      </w:r>
      <w:r>
        <w:rPr>
          <w:sz w:val="28"/>
          <w:szCs w:val="28"/>
        </w:rPr>
        <w:t xml:space="preserve">Флигель, 2-я четв. XIX в.»), назначение: нежилое, площадь 99,2 кв.м, кадастровый номер 44:13:140</w:t>
      </w:r>
      <w:r>
        <w:rPr>
          <w:sz w:val="28"/>
          <w:szCs w:val="28"/>
        </w:rPr>
        <w:t xml:space="preserve">316:260; ворота, адрес объектов: Костромская область, Н</w:t>
      </w:r>
      <w:r>
        <w:rPr>
          <w:sz w:val="28"/>
          <w:szCs w:val="28"/>
        </w:rPr>
        <w:t xml:space="preserve">ерехтский район,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 Нерехта, ул. Орджоникидзе, д. 17, </w:t>
      </w:r>
      <w:r>
        <w:rPr>
          <w:sz w:val="28"/>
          <w:szCs w:val="28"/>
        </w:rPr>
        <w:t xml:space="preserve">с одновременным  отчуждением земельного участка</w:t>
      </w:r>
      <w:r>
        <w:rPr>
          <w:sz w:val="28"/>
          <w:szCs w:val="28"/>
        </w:rPr>
        <w:t xml:space="preserve">, категория земель: земли населенных пунктов, вид разрешенного использования: для ра</w:t>
      </w:r>
      <w:r>
        <w:rPr>
          <w:sz w:val="28"/>
          <w:szCs w:val="28"/>
        </w:rPr>
        <w:t xml:space="preserve">змещения объектов учреждени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культуры, площадь 1620 кв.м, кадастровый номер 44:13:140316:6, местоположение: «Местоположение установлено относительно ориентира,</w:t>
      </w:r>
      <w:r>
        <w:rPr>
          <w:sz w:val="28"/>
          <w:szCs w:val="28"/>
        </w:rPr>
        <w:t xml:space="preserve"> расположенного в границах участка. Почтовый адрес ориентира: Костромская область, Н</w:t>
      </w:r>
      <w:r>
        <w:rPr>
          <w:sz w:val="28"/>
          <w:szCs w:val="28"/>
        </w:rPr>
        <w:t xml:space="preserve">ерехтский район, г. Нерехта, </w:t>
      </w:r>
      <w:r>
        <w:rPr>
          <w:sz w:val="28"/>
          <w:szCs w:val="28"/>
        </w:rPr>
        <w:t xml:space="preserve">                 ул. Орджоникидзе, д. 17»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ограничения (обременения): о</w:t>
      </w:r>
      <w:r>
        <w:rPr>
          <w:sz w:val="28"/>
          <w:szCs w:val="28"/>
        </w:rPr>
        <w:t xml:space="preserve">хранная зона гидрологического поста </w:t>
      </w:r>
      <w:r>
        <w:rPr>
          <w:sz w:val="28"/>
          <w:szCs w:val="28"/>
          <w:lang w:val="en-US"/>
        </w:rPr>
        <w:t xml:space="preserve">I</w:t>
      </w:r>
      <w:r>
        <w:rPr>
          <w:sz w:val="28"/>
          <w:szCs w:val="28"/>
          <w:lang w:val="ru-RU"/>
        </w:rPr>
        <w:t xml:space="preserve"> разряда площадью 591 кв.м,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охранные зоны инженерных коммуникаций площадью 63,26 кв.м, </w:t>
      </w:r>
      <w:r>
        <w:rPr>
          <w:sz w:val="28"/>
          <w:szCs w:val="28"/>
          <w:lang w:val="ru-RU"/>
        </w:rPr>
        <w:t xml:space="preserve">площадью 110 кв.м</w:t>
      </w:r>
      <w:r>
        <w:rPr>
          <w:rFonts w:ascii="Times New Roman" w:hAnsi="Times New Roman"/>
          <w:color w:val="000000"/>
          <w:sz w:val="28"/>
          <w:szCs w:val="28"/>
        </w:rPr>
        <w:t xml:space="preserve">, территория объектов культурного наследия площадью 1605 кв.м: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firstLine="709"/>
        <w:jc w:val="both"/>
      </w:pPr>
      <w:r>
        <w:rPr>
          <w:sz w:val="28"/>
          <w:szCs w:val="28"/>
        </w:rPr>
        <w:t xml:space="preserve">1) форма проведения продажи государственного имущества – электронная;</w:t>
      </w:r>
      <w:r/>
      <w:r/>
    </w:p>
    <w:p>
      <w:pPr>
        <w:pStyle w:val="851"/>
        <w:ind w:firstLine="709"/>
        <w:jc w:val="both"/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 способ приватизации 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продажа посредством публичного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</w:t>
      </w:r>
      <w:r>
        <w:rPr>
          <w:sz w:val="28"/>
          <w:szCs w:val="28"/>
        </w:rPr>
        <w:t xml:space="preserve">л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жения</w:t>
      </w:r>
      <w:r>
        <w:rPr>
          <w:sz w:val="28"/>
          <w:szCs w:val="28"/>
        </w:rPr>
        <w:t xml:space="preserve">;</w:t>
      </w:r>
      <w:r/>
      <w:r/>
    </w:p>
    <w:p>
      <w:pPr>
        <w:pStyle w:val="851"/>
        <w:ind w:firstLine="709"/>
        <w:jc w:val="both"/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 форма подачи предложений о цене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открытая;</w:t>
      </w:r>
      <w:r/>
      <w:r/>
    </w:p>
    <w:p>
      <w:pPr>
        <w:ind w:firstLine="709"/>
        <w:jc w:val="both"/>
        <w:spacing w:after="0" w:afterAutospacing="0" w:line="240" w:lineRule="auto"/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цена первоначального 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редложения устанавли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ется в раз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мере начал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ой цены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несос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тоявшегося аукциона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3 900 000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рублей (с учетом налога на добавленную стоимость), в том числе объектов недвижимого имущества – 3 412 000 рублей, движимого 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ущества – 48 000 рублей, стоимость (цена выкупа) земельного участка – 440 000 рублей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;</w:t>
      </w:r>
      <w:r/>
      <w:r/>
    </w:p>
    <w:p>
      <w:pPr>
        <w:pStyle w:val="851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5)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минимальная цена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предложе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ния, по к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оторой может быть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продано имущество («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цена отсечения»)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–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1 950 000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рублей;</w:t>
      </w:r>
      <w:r/>
      <w:r/>
    </w:p>
    <w:p>
      <w:pPr>
        <w:pStyle w:val="851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величина 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нижени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я цены первоначального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предложения («шаг 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онижения»)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195 000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ru-RU"/>
        </w:rPr>
        <w:t xml:space="preserve">рублей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/>
      <w:r/>
    </w:p>
    <w:p>
      <w:pPr>
        <w:pStyle w:val="851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7)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величи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повышения цены («шаг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аукциона») – 80 000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рублей;</w:t>
      </w:r>
      <w:r/>
      <w:r/>
    </w:p>
    <w:p>
      <w:pPr>
        <w:pStyle w:val="851"/>
        <w:ind w:firstLine="709"/>
        <w:jc w:val="both"/>
        <w:spacing w:after="0" w:line="240" w:lineRule="auto"/>
        <w:shd w:val="clear" w:color="ffffff" w:fill="ffffff" w:themeFill="background1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8)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задаток –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3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9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рублей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;</w:t>
      </w:r>
      <w:r/>
      <w:r/>
    </w:p>
    <w:p>
      <w:pPr>
        <w:ind w:firstLine="709"/>
        <w:jc w:val="both"/>
        <w:spacing w:after="0" w:afterAutospacing="0" w:line="240" w:lineRule="auto"/>
        <w:rPr>
          <w:rFonts w:ascii="Times New Roman" w:hAnsi="Times New Roman" w:eastAsia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9) </w:t>
      </w:r>
      <w:r>
        <w:rPr>
          <w:rFonts w:ascii="Times New Roman" w:hAnsi="Times New Roman" w:cs="Times New Roman"/>
          <w:sz w:val="28"/>
          <w:szCs w:val="28"/>
        </w:rPr>
        <w:t xml:space="preserve">обременение – </w:t>
      </w:r>
      <w:r>
        <w:rPr>
          <w:rFonts w:ascii="Times New Roman" w:hAnsi="Times New Roman" w:cs="Times New Roman"/>
          <w:sz w:val="28"/>
          <w:szCs w:val="28"/>
        </w:rPr>
        <w:t xml:space="preserve">обязанность покупателя по выполнению требований Федерального закона от 25 июня 2002 года № 73-ФЗ «Об объектах культурного наследия (памятниках истории и культуры) н</w:t>
      </w:r>
      <w:r>
        <w:rPr>
          <w:rFonts w:ascii="Times New Roman" w:hAnsi="Times New Roman" w:cs="Times New Roman"/>
          <w:sz w:val="28"/>
          <w:szCs w:val="28"/>
        </w:rPr>
        <w:t xml:space="preserve">ародов Российской Федерации» и </w:t>
      </w:r>
      <w:r>
        <w:rPr>
          <w:rFonts w:ascii="Times New Roman" w:hAnsi="Times New Roman" w:cs="Times New Roman"/>
          <w:sz w:val="28"/>
          <w:szCs w:val="28"/>
        </w:rPr>
        <w:t xml:space="preserve">охранных обязательств собст</w:t>
      </w:r>
      <w:r>
        <w:rPr>
          <w:rFonts w:ascii="Times New Roman" w:hAnsi="Times New Roman" w:cs="Times New Roman"/>
          <w:sz w:val="28"/>
          <w:szCs w:val="28"/>
        </w:rPr>
        <w:t xml:space="preserve">венника или иного законного владельца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утвержденных приказами инспекции по охране объектов </w:t>
      </w:r>
      <w:r>
        <w:rPr>
          <w:rFonts w:ascii="Times New Roman" w:hAnsi="Times New Roman" w:cs="Times New Roman"/>
          <w:sz w:val="28"/>
          <w:szCs w:val="28"/>
        </w:rPr>
        <w:t xml:space="preserve">культурного на</w:t>
      </w:r>
      <w:r>
        <w:rPr>
          <w:rFonts w:ascii="Times New Roman" w:hAnsi="Times New Roman" w:cs="Times New Roman"/>
          <w:sz w:val="28"/>
          <w:szCs w:val="28"/>
        </w:rPr>
        <w:t xml:space="preserve">следия Костромской области от 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июня 2021 года № 79, № 80,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согласно приложению к настоящему распоряжению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color w:val="000000"/>
          <w:highlight w:val="white"/>
        </w:rPr>
      </w:r>
      <w:r>
        <w:rPr>
          <w:rFonts w:ascii="Times New Roman" w:hAnsi="Times New Roman" w:eastAsia="Times New Roman" w:cs="Times New Roman"/>
          <w:color w:val="000000"/>
          <w:highlight w:val="white"/>
        </w:rPr>
      </w:r>
    </w:p>
    <w:p>
      <w:pPr>
        <w:pStyle w:val="85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управления</w:t>
      </w:r>
      <w:r>
        <w:rPr>
          <w:sz w:val="28"/>
          <w:szCs w:val="28"/>
        </w:rPr>
        <w:t xml:space="preserve">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</w:t>
      </w:r>
      <w:r>
        <w:rPr>
          <w:sz w:val="28"/>
          <w:szCs w:val="28"/>
        </w:rPr>
        <w:t xml:space="preserve">емельны</w:t>
      </w:r>
      <w:r>
        <w:rPr>
          <w:sz w:val="28"/>
          <w:szCs w:val="28"/>
        </w:rPr>
        <w:t xml:space="preserve">х отношени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Костромской облас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роизвести необходимые действия по организации и проведению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родаж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 xml:space="preserve"> посре</w:t>
      </w:r>
      <w:r>
        <w:rPr>
          <w:sz w:val="28"/>
          <w:szCs w:val="28"/>
        </w:rPr>
        <w:t xml:space="preserve">дством публичного пре</w:t>
      </w:r>
      <w:r>
        <w:rPr>
          <w:sz w:val="28"/>
          <w:szCs w:val="28"/>
        </w:rPr>
        <w:t xml:space="preserve">дложения</w:t>
      </w:r>
      <w:r>
        <w:rPr>
          <w:sz w:val="28"/>
          <w:szCs w:val="28"/>
        </w:rPr>
        <w:t xml:space="preserve">, указанного в пункте 1 настоящего </w:t>
      </w:r>
      <w:r>
        <w:rPr>
          <w:sz w:val="28"/>
          <w:szCs w:val="28"/>
        </w:rPr>
        <w:t xml:space="preserve">распоряжения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азместить настоящее распоряжение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ах</w:t>
      </w:r>
      <w:r>
        <w:rPr>
          <w:sz w:val="28"/>
          <w:szCs w:val="28"/>
        </w:rPr>
        <w:t xml:space="preserve"> в сети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Интернет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на </w:t>
      </w:r>
      <w:r>
        <w:rPr>
          <w:sz w:val="28"/>
          <w:szCs w:val="28"/>
        </w:rPr>
        <w:t xml:space="preserve">официа</w:t>
      </w:r>
      <w:r>
        <w:rPr>
          <w:sz w:val="28"/>
          <w:szCs w:val="28"/>
        </w:rPr>
        <w:t xml:space="preserve">льном с</w:t>
      </w:r>
      <w:r>
        <w:rPr>
          <w:sz w:val="28"/>
          <w:szCs w:val="28"/>
        </w:rPr>
        <w:t xml:space="preserve">айте Росси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ской Федерации </w:t>
      </w:r>
      <w:r>
        <w:rPr>
          <w:sz w:val="28"/>
          <w:szCs w:val="28"/>
        </w:rPr>
        <w:t xml:space="preserve"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размещения информации о проведении торгов </w:t>
      </w:r>
      <w:r>
        <w:rPr>
          <w:sz w:val="28"/>
          <w:szCs w:val="28"/>
        </w:rPr>
        <w:t xml:space="preserve">www.torgi.gov.ru, на сайте департамента имущественных и земельных отношений Костромской </w:t>
      </w:r>
      <w:r>
        <w:rPr>
          <w:sz w:val="28"/>
          <w:szCs w:val="28"/>
        </w:rPr>
        <w:t xml:space="preserve">области (прод</w:t>
      </w:r>
      <w:r>
        <w:rPr>
          <w:sz w:val="28"/>
          <w:szCs w:val="28"/>
        </w:rPr>
        <w:t xml:space="preserve">авец) </w:t>
      </w:r>
      <w:r>
        <w:rPr>
          <w:sz w:val="28"/>
          <w:szCs w:val="28"/>
        </w:rPr>
        <w:t xml:space="preserve">dizo.kostroma.gov.ru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Портал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государс</w:t>
      </w:r>
      <w:r>
        <w:rPr>
          <w:sz w:val="28"/>
          <w:szCs w:val="28"/>
        </w:rPr>
        <w:t xml:space="preserve">твенных</w:t>
      </w:r>
      <w:r>
        <w:rPr>
          <w:sz w:val="28"/>
          <w:szCs w:val="28"/>
        </w:rPr>
        <w:t xml:space="preserve"> органов К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стромской области </w:t>
      </w:r>
      <w:r>
        <w:fldChar w:fldCharType="begin"/>
      </w:r>
      <w:r>
        <w:instrText xml:space="preserve">HYPERLINK "http://www.аdm44.ru"</w:instrText>
      </w:r>
      <w:r>
        <w:fldChar w:fldCharType="separate"/>
      </w:r>
      <w:r>
        <w:rPr>
          <w:sz w:val="28"/>
          <w:szCs w:val="28"/>
        </w:rPr>
        <w:t xml:space="preserve">www.аdm44.ru</w:t>
      </w:r>
      <w:r>
        <w:fldChar w:fldCharType="end"/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Признать утратившим силу распоряжение департамента имущественных и земельных отношений Костромской области от                    13 октября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года № 907 </w:t>
      </w:r>
      <w:r>
        <w:rPr>
          <w:sz w:val="28"/>
          <w:szCs w:val="28"/>
        </w:rPr>
        <w:t xml:space="preserve">«Об условиях приватизации находящегося в го</w:t>
      </w:r>
      <w:r>
        <w:rPr>
          <w:sz w:val="28"/>
          <w:szCs w:val="28"/>
        </w:rPr>
        <w:t xml:space="preserve">су</w:t>
      </w:r>
      <w:r>
        <w:rPr>
          <w:sz w:val="28"/>
          <w:szCs w:val="28"/>
        </w:rPr>
        <w:t xml:space="preserve">дарственной собственно</w:t>
      </w:r>
      <w:r>
        <w:rPr>
          <w:sz w:val="28"/>
          <w:szCs w:val="28"/>
        </w:rPr>
        <w:t xml:space="preserve">сти Костромской области имущества»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</w:t>
      </w:r>
      <w:r>
        <w:rPr>
          <w:sz w:val="28"/>
          <w:szCs w:val="28"/>
        </w:rPr>
        <w:t xml:space="preserve">ящего распоряжения возложить на </w:t>
      </w:r>
      <w:r>
        <w:rPr>
          <w:sz w:val="28"/>
          <w:szCs w:val="28"/>
        </w:rPr>
        <w:t xml:space="preserve">начальника о</w:t>
      </w:r>
      <w:r>
        <w:rPr>
          <w:sz w:val="28"/>
          <w:szCs w:val="28"/>
        </w:rPr>
        <w:t xml:space="preserve">тдела управле</w:t>
      </w:r>
      <w:r>
        <w:rPr>
          <w:sz w:val="28"/>
          <w:szCs w:val="28"/>
        </w:rPr>
        <w:t xml:space="preserve">ния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</w:t>
      </w:r>
      <w:r>
        <w:rPr>
          <w:sz w:val="28"/>
          <w:szCs w:val="28"/>
        </w:rPr>
        <w:t xml:space="preserve"> Костр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мской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right="141"/>
        <w:jc w:val="both"/>
        <w:tabs>
          <w:tab w:val="left" w:pos="921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right="141"/>
        <w:jc w:val="both"/>
        <w:tabs>
          <w:tab w:val="left" w:pos="9214" w:leader="none"/>
        </w:tabs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right="141"/>
        <w:jc w:val="both"/>
        <w:tabs>
          <w:tab w:val="left" w:pos="9214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Исполняющий обязанности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</w:pPr>
      <w:r>
        <w:rPr>
          <w:sz w:val="28"/>
          <w:szCs w:val="28"/>
        </w:rPr>
        <w:t xml:space="preserve">директора деп</w:t>
      </w:r>
      <w:r>
        <w:rPr>
          <w:sz w:val="28"/>
          <w:szCs w:val="28"/>
        </w:rPr>
        <w:t xml:space="preserve">артамента                                                                М.А. Иванова</w:t>
      </w:r>
      <w:r/>
      <w:r/>
    </w:p>
    <w:p>
      <w:pPr>
        <w:pStyle w:val="851"/>
      </w:pPr>
      <w:r>
        <w:rPr>
          <w:sz w:val="28"/>
          <w:szCs w:val="28"/>
        </w:rPr>
      </w:r>
      <w:r/>
      <w:r/>
    </w:p>
    <w:p>
      <w:pPr>
        <w:pStyle w:val="851"/>
      </w:pPr>
      <w:r/>
    </w:p>
    <w:p>
      <w:pPr>
        <w:pStyle w:val="851"/>
      </w:pPr>
      <w:r/>
      <w:r/>
    </w:p>
    <w:p>
      <w:pPr>
        <w:pStyle w:val="851"/>
        <w:ind w:right="-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right"/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  <w:jc w:val="center"/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774700" cy="1524000"/>
                <wp:effectExtent l="0" t="0" r="0" b="0"/>
                <wp:docPr id="2" name="Изображение2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Изображение2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774700" cy="15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61.00pt;height:120.00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  <w:r/>
    </w:p>
    <w:p>
      <w:pPr>
        <w:pStyle w:val="851"/>
        <w:jc w:val="center"/>
      </w:pPr>
      <w:r/>
      <w:r/>
    </w:p>
    <w:p>
      <w:pPr>
        <w:pStyle w:val="851"/>
        <w:jc w:val="center"/>
      </w:pPr>
      <w:r>
        <w:rPr>
          <w:b/>
          <w:sz w:val="28"/>
          <w:szCs w:val="28"/>
        </w:rPr>
        <w:t xml:space="preserve">ДЕПАРТАМЕНТ </w:t>
      </w:r>
      <w:r/>
    </w:p>
    <w:p>
      <w:pPr>
        <w:pStyle w:val="851"/>
        <w:jc w:val="center"/>
      </w:pPr>
      <w:r>
        <w:rPr>
          <w:b/>
          <w:sz w:val="28"/>
          <w:szCs w:val="28"/>
        </w:rPr>
        <w:t xml:space="preserve">ИМУЩЕСТВЕННЫХ И ЗЕМЕЛЬНЫХ ОТНОШЕНИЙ</w:t>
      </w:r>
      <w:r/>
    </w:p>
    <w:p>
      <w:pPr>
        <w:pStyle w:val="851"/>
        <w:jc w:val="center"/>
      </w:pPr>
      <w:r>
        <w:rPr>
          <w:b/>
          <w:sz w:val="28"/>
          <w:szCs w:val="28"/>
        </w:rPr>
        <w:t xml:space="preserve">КОСТРОМСКОЙ ОБЛАСТИ</w:t>
      </w:r>
      <w:r/>
    </w:p>
    <w:p>
      <w:pPr>
        <w:pStyle w:val="851"/>
        <w:jc w:val="center"/>
      </w:pPr>
      <w:r/>
      <w:r/>
    </w:p>
    <w:p>
      <w:pPr>
        <w:pStyle w:val="851"/>
        <w:jc w:val="center"/>
      </w:pPr>
      <w:r>
        <w:rPr>
          <w:b/>
          <w:sz w:val="28"/>
          <w:szCs w:val="28"/>
        </w:rPr>
        <w:t xml:space="preserve">РАСПОРЯЖЕНИЕ</w:t>
      </w:r>
      <w:r/>
    </w:p>
    <w:p>
      <w:pPr>
        <w:pStyle w:val="851"/>
        <w:jc w:val="center"/>
      </w:pPr>
      <w:r/>
      <w:r/>
    </w:p>
    <w:p>
      <w:pPr>
        <w:pStyle w:val="851"/>
        <w:jc w:val="center"/>
        <w:shd w:val="clear" w:color="ffffff" w:fill="ffffff" w:themeFill="background1"/>
        <w:rPr>
          <w:highlight w:val="white"/>
        </w:rPr>
      </w:pPr>
      <w:r>
        <w:rPr>
          <w:sz w:val="28"/>
          <w:szCs w:val="28"/>
          <w:highlight w:val="white"/>
        </w:rPr>
        <w:t xml:space="preserve">от 15.12.2025 года № </w:t>
      </w:r>
      <w:r>
        <w:rPr>
          <w:sz w:val="28"/>
          <w:szCs w:val="28"/>
          <w:highlight w:val="white"/>
        </w:rPr>
        <w:t xml:space="preserve">1132</w:t>
      </w:r>
      <w:r>
        <w:rPr>
          <w:sz w:val="28"/>
          <w:szCs w:val="28"/>
          <w:highlight w:val="white"/>
        </w:rPr>
      </w:r>
      <w:r>
        <w:rPr>
          <w:highlight w:val="white"/>
        </w:rPr>
      </w:r>
    </w:p>
    <w:p>
      <w:pPr>
        <w:pStyle w:val="851"/>
        <w:jc w:val="center"/>
        <w:shd w:val="clear" w:color="ffffff" w:fill="ffffff" w:themeFill="background1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pStyle w:val="851"/>
        <w:jc w:val="center"/>
      </w:pPr>
      <w:r/>
      <w:r/>
    </w:p>
    <w:p>
      <w:pPr>
        <w:pStyle w:val="851"/>
        <w:jc w:val="center"/>
      </w:pPr>
      <w:r>
        <w:rPr>
          <w:sz w:val="28"/>
          <w:szCs w:val="28"/>
        </w:rPr>
        <w:t xml:space="preserve">г. Кострома</w:t>
      </w:r>
      <w:r/>
    </w:p>
    <w:p>
      <w:pPr>
        <w:pStyle w:val="851"/>
        <w:jc w:val="center"/>
      </w:pPr>
      <w:r/>
      <w:r/>
    </w:p>
    <w:p>
      <w:pPr>
        <w:pStyle w:val="851"/>
        <w:jc w:val="center"/>
      </w:pPr>
      <w:r>
        <w:rPr>
          <w:b/>
          <w:sz w:val="28"/>
          <w:szCs w:val="28"/>
        </w:rPr>
        <w:t xml:space="preserve">Об условиях приватизации находящегося в государственной собственности Костромской области имущества</w:t>
      </w:r>
      <w:r/>
    </w:p>
    <w:p>
      <w:pPr>
        <w:pStyle w:val="851"/>
        <w:ind w:firstLine="720"/>
        <w:jc w:val="center"/>
      </w:pPr>
      <w:r/>
      <w:r/>
    </w:p>
    <w:p>
      <w:pPr>
        <w:pStyle w:val="851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с Федеральным законом от 21 декабря 2001 года                              № 178-ФЗ «О приватизации государственного и муниципального имущества»,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Федеральным законом от 25 июня 2002 года № 73-ФЗ                  «Об объектах культурного наследи</w:t>
      </w:r>
      <w:r>
        <w:rPr>
          <w:sz w:val="28"/>
          <w:szCs w:val="28"/>
        </w:rPr>
        <w:t xml:space="preserve">я (памятниках истории и культуры) народов Российской Федер</w:t>
      </w:r>
      <w:r>
        <w:rPr>
          <w:sz w:val="28"/>
          <w:szCs w:val="28"/>
        </w:rPr>
        <w:t xml:space="preserve">ации»,</w:t>
      </w:r>
      <w:r>
        <w:rPr>
          <w:sz w:val="28"/>
          <w:szCs w:val="28"/>
        </w:rPr>
        <w:t xml:space="preserve"> Законом Костромской области                      от 27 июня 2008 года </w:t>
      </w:r>
      <w:r>
        <w:rPr>
          <w:sz w:val="28"/>
          <w:szCs w:val="28"/>
        </w:rPr>
        <w:t xml:space="preserve">№ 335-4-ЗКО «О приватизации государственного </w:t>
      </w:r>
      <w:r>
        <w:rPr>
          <w:sz w:val="28"/>
          <w:szCs w:val="28"/>
        </w:rPr>
        <w:t xml:space="preserve">имущества Костромской области», </w:t>
      </w:r>
      <w:r>
        <w:rPr>
          <w:sz w:val="28"/>
          <w:szCs w:val="28"/>
        </w:rPr>
        <w:t xml:space="preserve">пост</w:t>
      </w:r>
      <w:r>
        <w:rPr>
          <w:sz w:val="28"/>
          <w:szCs w:val="28"/>
        </w:rPr>
        <w:t xml:space="preserve">ановлением Костромской областной Думы от 24 ноября 2022 года № 579 «О программе приватизации государственного имущества Костром</w:t>
      </w:r>
      <w:r>
        <w:rPr>
          <w:sz w:val="28"/>
          <w:szCs w:val="28"/>
        </w:rPr>
        <w:t xml:space="preserve">ской области на             2023-2025 годы»,</w:t>
      </w:r>
      <w:r>
        <w:rPr>
          <w:sz w:val="28"/>
          <w:szCs w:val="28"/>
        </w:rPr>
        <w:t xml:space="preserve"> пос</w:t>
      </w:r>
      <w:r>
        <w:rPr>
          <w:sz w:val="28"/>
          <w:szCs w:val="28"/>
        </w:rPr>
        <w:t xml:space="preserve">тановлением администрации Костромской области от 15 авгу</w:t>
      </w:r>
      <w:r>
        <w:rPr>
          <w:sz w:val="28"/>
          <w:szCs w:val="28"/>
        </w:rPr>
        <w:t xml:space="preserve">ста 2011 года № 300-а «О поручении исполнительным органам Костромской области осуществлять полномочия от имени администрации Костромской области в сфере управлени</w:t>
      </w:r>
      <w:r>
        <w:rPr>
          <w:sz w:val="28"/>
          <w:szCs w:val="28"/>
        </w:rPr>
        <w:t xml:space="preserve">я и распоряжения государственным имуществом Костромской </w:t>
      </w:r>
      <w:r>
        <w:rPr>
          <w:sz w:val="28"/>
          <w:szCs w:val="28"/>
        </w:rPr>
        <w:t xml:space="preserve">области», положением о департаменте имущественных и земельных отношений Костромской области, утвержденным постановлением губернатора Костромской области от 29 мая 2015 года № 96 «О департаменте имущес</w:t>
      </w:r>
      <w:r>
        <w:rPr>
          <w:sz w:val="28"/>
          <w:szCs w:val="28"/>
        </w:rPr>
        <w:t xml:space="preserve">твенных и земельных отношений Костромской области»,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решением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комиссии </w:t>
      </w:r>
      <w:r>
        <w:rPr>
          <w:sz w:val="28"/>
          <w:szCs w:val="28"/>
        </w:rPr>
        <w:t xml:space="preserve">по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приватизации государственного имущества Костромс</w:t>
      </w:r>
      <w:r>
        <w:rPr>
          <w:sz w:val="28"/>
          <w:szCs w:val="28"/>
        </w:rPr>
        <w:t xml:space="preserve">кой области 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протокол от 26 ноября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 года </w:t>
      </w:r>
      <w:r>
        <w:rPr>
          <w:sz w:val="28"/>
          <w:szCs w:val="28"/>
        </w:rPr>
        <w:t xml:space="preserve">№ 7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</w:t>
      </w:r>
      <w:r>
        <w:rPr>
          <w:sz w:val="28"/>
          <w:szCs w:val="28"/>
        </w:rPr>
        <w:t xml:space="preserve">ерд</w:t>
      </w:r>
      <w:r>
        <w:rPr>
          <w:sz w:val="28"/>
          <w:szCs w:val="28"/>
        </w:rPr>
        <w:t xml:space="preserve">ить </w:t>
      </w:r>
      <w:r>
        <w:rPr>
          <w:sz w:val="28"/>
          <w:szCs w:val="28"/>
        </w:rPr>
        <w:t xml:space="preserve">условия </w:t>
      </w:r>
      <w:r>
        <w:rPr>
          <w:sz w:val="28"/>
          <w:szCs w:val="28"/>
        </w:rPr>
        <w:t xml:space="preserve">приватизац</w:t>
      </w:r>
      <w:r>
        <w:rPr>
          <w:sz w:val="28"/>
          <w:szCs w:val="28"/>
        </w:rPr>
        <w:t xml:space="preserve">ии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находящегося в государственной собственности Костромской области имущества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right="-1"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нежилое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строение (объект культурного наследия регионального значения «Дом жилой, 2-я пол.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 xml:space="preserve">XIX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в.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»),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назначение: нежи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лое,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площадь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 xml:space="preserve">154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,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en-US"/>
        </w:rPr>
        <w:t xml:space="preserve">2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кв.м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,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кадастровый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номер 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highlight w:val="none"/>
          <w:lang w:val="ru-RU"/>
        </w:rPr>
        <w:t xml:space="preserve">44:21:130206:63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адрес: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Костромская область,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Судиславский район,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пгт. Судиславль, ул. Луначарского, д. 51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с одновременным отчуждением земельного участка, категория земель: земли населенных пунктов, вид разрешенн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о</w:t>
      </w:r>
      <w:r>
        <w:rPr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го использования: для размещения и обслуживания административного здания, площадь 437 кв.м, кадастровый номер 44:21:130206:8, местоположение: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«Местоположение установлено </w:t>
      </w:r>
      <w:r>
        <w:rPr>
          <w:rFonts w:ascii="Times New Roman" w:hAnsi="Times New Roman" w:cs="Times New Roman"/>
          <w:sz w:val="28"/>
          <w:szCs w:val="28"/>
        </w:rPr>
        <w:t xml:space="preserve">относительно ориентира,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в границах участка. Почтовый адрес ориентира: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Костромская область,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Судиславский район,                          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пгт. Судиславль, ул. Луначарского, д. 51»</w:t>
      </w:r>
      <w:r>
        <w:rPr>
          <w:rFonts w:ascii="Times New Roman" w:hAnsi="Times New Roman" w:cs="Times New Roman"/>
          <w:sz w:val="28"/>
          <w:szCs w:val="28"/>
        </w:rPr>
        <w:t xml:space="preserve">, ограничения (обременения):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охранная зона</w:t>
      </w:r>
      <w:r>
        <w:rPr>
          <w:rFonts w:ascii="Times New Roman" w:hAnsi="Times New Roman" w:cs="Times New Roman"/>
          <w:sz w:val="28"/>
          <w:szCs w:val="28"/>
        </w:rPr>
        <w:t xml:space="preserve"> ВЛ-10 кВ площадью 102 кв.м, территория объекта культурного наследия площадью 293 кв.м: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r>
    </w:p>
    <w:p>
      <w:pPr>
        <w:pStyle w:val="851"/>
        <w:ind w:firstLine="709"/>
        <w:jc w:val="both"/>
      </w:pPr>
      <w:r>
        <w:rPr>
          <w:sz w:val="28"/>
          <w:szCs w:val="28"/>
        </w:rPr>
        <w:t xml:space="preserve">1) форма проведения продажи государственного имущества – электронная;</w:t>
      </w:r>
      <w:r/>
      <w:r/>
    </w:p>
    <w:p>
      <w:pPr>
        <w:pStyle w:val="851"/>
        <w:ind w:firstLine="709"/>
        <w:jc w:val="both"/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 способ приватизации –</w:t>
      </w:r>
      <w:r>
        <w:rPr>
          <w:sz w:val="28"/>
          <w:szCs w:val="28"/>
        </w:rPr>
        <w:t xml:space="preserve"> продажа </w:t>
      </w:r>
      <w:r>
        <w:rPr>
          <w:sz w:val="28"/>
          <w:szCs w:val="28"/>
        </w:rPr>
        <w:t xml:space="preserve">имущества</w:t>
      </w:r>
      <w:r>
        <w:rPr>
          <w:sz w:val="28"/>
          <w:szCs w:val="28"/>
        </w:rPr>
        <w:t xml:space="preserve"> посре</w:t>
      </w:r>
      <w:r>
        <w:rPr>
          <w:sz w:val="28"/>
          <w:szCs w:val="28"/>
        </w:rPr>
        <w:t xml:space="preserve">дством публичного пре</w:t>
      </w:r>
      <w:r>
        <w:rPr>
          <w:sz w:val="28"/>
          <w:szCs w:val="28"/>
        </w:rPr>
        <w:t xml:space="preserve">дложения</w:t>
      </w:r>
      <w:r>
        <w:rPr>
          <w:sz w:val="28"/>
          <w:szCs w:val="28"/>
        </w:rPr>
        <w:t xml:space="preserve">;</w:t>
      </w:r>
      <w:r/>
      <w:r/>
    </w:p>
    <w:p>
      <w:pPr>
        <w:pStyle w:val="851"/>
        <w:ind w:firstLine="709"/>
        <w:jc w:val="both"/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 форма подачи предложений о цене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открытая;</w:t>
      </w:r>
      <w:r/>
      <w:r/>
    </w:p>
    <w:p>
      <w:pPr>
        <w:pStyle w:val="851"/>
        <w:ind w:firstLine="709"/>
        <w:jc w:val="both"/>
        <w:spacing w:after="0" w:afterAutospacing="0" w:line="240" w:lineRule="auto"/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ц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ена первоначального 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редложения устанавли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ва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ется в раз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мере начал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ой цены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несос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тоявшегося аукциона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250 000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рублей (с учетом налога на добавленную стоимость),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том числ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объекта нед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вижимого имущества – 220 000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рублей, стоимость (цена выкупа) земельно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участка – 30 000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</w:t>
      </w:r>
      <w:r/>
      <w:r/>
    </w:p>
    <w:p>
      <w:pPr>
        <w:pStyle w:val="851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5)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минимальная цена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предложе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ния, по к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оторой может быть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продано имущество («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цена отсечения»)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–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125 000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рублей;</w:t>
      </w:r>
      <w:r/>
      <w:r/>
    </w:p>
    <w:p>
      <w:pPr>
        <w:pStyle w:val="851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6)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величина с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нижени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я цены первоначального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предложения («шаг п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онижения»)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12 500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  <w:lang w:val="ru-RU"/>
        </w:rPr>
        <w:t xml:space="preserve">рублей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;</w:t>
      </w:r>
      <w:r/>
      <w:r/>
    </w:p>
    <w:p>
      <w:pPr>
        <w:pStyle w:val="851"/>
        <w:ind w:firstLine="709"/>
        <w:jc w:val="both"/>
        <w:spacing w:after="0" w:line="240" w:lineRule="auto"/>
        <w:shd w:val="clear" w:color="ffffff" w:fill="ffffff" w:themeFill="background1"/>
        <w:tabs>
          <w:tab w:val="left" w:pos="142" w:leader="none"/>
        </w:tabs>
      </w:pPr>
      <w:r>
        <w:rPr>
          <w:rFonts w:ascii="Times New Roman" w:hAnsi="Times New Roman" w:eastAsia="Times New Roman" w:cs="Times New Roman"/>
          <w:sz w:val="28"/>
          <w:szCs w:val="28"/>
          <w:highlight w:val="none"/>
        </w:rPr>
        <w:t xml:space="preserve">7)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величи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на повышения цены («шаг 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аукциона») – 5 000</w:t>
      </w:r>
      <w:r>
        <w:rPr>
          <w:rFonts w:ascii="Times New Roman" w:hAnsi="Times New Roman" w:eastAsia="Times New Roman" w:cs="Times New Roman"/>
          <w:sz w:val="28"/>
          <w:szCs w:val="28"/>
          <w:highlight w:val="white"/>
        </w:rPr>
        <w:t xml:space="preserve"> рублей;</w:t>
      </w:r>
      <w:r/>
      <w:r/>
    </w:p>
    <w:p>
      <w:pPr>
        <w:pStyle w:val="851"/>
        <w:ind w:firstLine="709"/>
        <w:jc w:val="both"/>
        <w:spacing w:after="0" w:line="240" w:lineRule="auto"/>
        <w:shd w:val="clear" w:color="ffffff" w:fill="ffffff" w:themeFill="background1"/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8)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t xml:space="preserve">задаток –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25 000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рублей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;</w:t>
      </w:r>
      <w:r/>
      <w:r/>
    </w:p>
    <w:p>
      <w:pPr>
        <w:pStyle w:val="851"/>
        <w:ind w:firstLine="709"/>
        <w:jc w:val="both"/>
        <w:spacing w:after="0" w:afterAutospacing="0" w:line="240" w:lineRule="auto"/>
        <w:rPr>
          <w:rFonts w:ascii="Times New Roman" w:hAnsi="Times New Roman" w:eastAsia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9) обременение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обязанность покупателя по выполнению требований Федерального зак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25 июня 2002 года № 73-ФЗ «Об об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ъектах 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ультурного наследия (памя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тниках истории и культуры) народо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                                            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ссийской Федерации»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охранн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ых обязательств собственника или иног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законного владельца объекта культурного наследия, включенного в 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диный государст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венный реестр объектов культурного насл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едия (па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мятнико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истории и культуры) народов  Российской Федерации,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ержденных приказом инспекции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охране объектов культурного насле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дия Костромской области 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от 22 июля 2022 года № 129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согласно приложению к настоящему распоряжению</w:t>
      </w:r>
      <w:r>
        <w:rPr>
          <w:rFonts w:ascii="Times New Roman" w:hAnsi="Times New Roman" w:cs="Times New Roman"/>
          <w:color w:val="000000"/>
          <w:sz w:val="28"/>
          <w:szCs w:val="28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color w:val="000000"/>
          <w:highlight w:val="white"/>
        </w:rPr>
      </w:r>
      <w:r>
        <w:rPr>
          <w:rFonts w:ascii="Times New Roman" w:hAnsi="Times New Roman" w:eastAsia="Times New Roman" w:cs="Times New Roman"/>
          <w:color w:val="000000"/>
          <w:highlight w:val="white"/>
        </w:rPr>
      </w:r>
    </w:p>
    <w:p>
      <w:pPr>
        <w:pStyle w:val="85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Отделу управления</w:t>
      </w:r>
      <w:r>
        <w:rPr>
          <w:sz w:val="28"/>
          <w:szCs w:val="28"/>
        </w:rPr>
        <w:t xml:space="preserve">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</w:t>
      </w:r>
      <w:r>
        <w:rPr>
          <w:sz w:val="28"/>
          <w:szCs w:val="28"/>
        </w:rPr>
        <w:t xml:space="preserve">емельны</w:t>
      </w:r>
      <w:r>
        <w:rPr>
          <w:sz w:val="28"/>
          <w:szCs w:val="28"/>
        </w:rPr>
        <w:t xml:space="preserve">х отношени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 Костромской облас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роизвести необходимые действия по организации и проведению </w:t>
      </w: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родаж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 имущества</w:t>
      </w:r>
      <w:r>
        <w:rPr>
          <w:sz w:val="28"/>
          <w:szCs w:val="28"/>
        </w:rPr>
        <w:t xml:space="preserve"> посре</w:t>
      </w:r>
      <w:r>
        <w:rPr>
          <w:sz w:val="28"/>
          <w:szCs w:val="28"/>
        </w:rPr>
        <w:t xml:space="preserve">дством публичного пре</w:t>
      </w:r>
      <w:r>
        <w:rPr>
          <w:sz w:val="28"/>
          <w:szCs w:val="28"/>
        </w:rPr>
        <w:t xml:space="preserve">дложения</w:t>
      </w:r>
      <w:r>
        <w:rPr>
          <w:sz w:val="28"/>
          <w:szCs w:val="28"/>
        </w:rPr>
        <w:t xml:space="preserve">, указанного в пункте 1 настоящего </w:t>
      </w:r>
      <w:r>
        <w:rPr>
          <w:sz w:val="28"/>
          <w:szCs w:val="28"/>
        </w:rPr>
        <w:t xml:space="preserve">распоряжения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азместить настоящее распоряжение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сайт</w:t>
      </w:r>
      <w:r>
        <w:rPr>
          <w:sz w:val="28"/>
          <w:szCs w:val="28"/>
        </w:rPr>
        <w:t xml:space="preserve">ах</w:t>
      </w:r>
      <w:r>
        <w:rPr>
          <w:sz w:val="28"/>
          <w:szCs w:val="28"/>
        </w:rPr>
        <w:t xml:space="preserve"> в сети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Интернет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на </w:t>
      </w:r>
      <w:r>
        <w:rPr>
          <w:sz w:val="28"/>
          <w:szCs w:val="28"/>
        </w:rPr>
        <w:t xml:space="preserve">официа</w:t>
      </w:r>
      <w:r>
        <w:rPr>
          <w:sz w:val="28"/>
          <w:szCs w:val="28"/>
        </w:rPr>
        <w:t xml:space="preserve">льном с</w:t>
      </w:r>
      <w:r>
        <w:rPr>
          <w:sz w:val="28"/>
          <w:szCs w:val="28"/>
        </w:rPr>
        <w:t xml:space="preserve">айте Росси</w:t>
      </w:r>
      <w:r>
        <w:rPr>
          <w:sz w:val="28"/>
          <w:szCs w:val="28"/>
        </w:rPr>
        <w:t xml:space="preserve">й</w:t>
      </w:r>
      <w:r>
        <w:rPr>
          <w:sz w:val="28"/>
          <w:szCs w:val="28"/>
        </w:rPr>
        <w:t xml:space="preserve">ской Федерации </w:t>
      </w:r>
      <w:r>
        <w:rPr>
          <w:sz w:val="28"/>
          <w:szCs w:val="28"/>
        </w:rPr>
        <w:t xml:space="preserve">для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размещения информации о проведении торгов </w:t>
      </w:r>
      <w:r>
        <w:rPr>
          <w:sz w:val="28"/>
          <w:szCs w:val="28"/>
        </w:rPr>
        <w:t xml:space="preserve">www.torgi.gov.ru, на сайте департамента имущественных и земельных отношений Костромской </w:t>
      </w:r>
      <w:r>
        <w:rPr>
          <w:sz w:val="28"/>
          <w:szCs w:val="28"/>
        </w:rPr>
        <w:t xml:space="preserve">области (прод</w:t>
      </w:r>
      <w:r>
        <w:rPr>
          <w:sz w:val="28"/>
          <w:szCs w:val="28"/>
        </w:rPr>
        <w:t xml:space="preserve">авец) </w:t>
      </w:r>
      <w:r>
        <w:rPr>
          <w:sz w:val="28"/>
          <w:szCs w:val="28"/>
        </w:rPr>
        <w:t xml:space="preserve">dizo.kostroma.gov.ru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Портал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государс</w:t>
      </w:r>
      <w:r>
        <w:rPr>
          <w:sz w:val="28"/>
          <w:szCs w:val="28"/>
        </w:rPr>
        <w:t xml:space="preserve">твенных</w:t>
      </w:r>
      <w:r>
        <w:rPr>
          <w:sz w:val="28"/>
          <w:szCs w:val="28"/>
        </w:rPr>
        <w:t xml:space="preserve"> органов К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стромской области </w:t>
      </w:r>
      <w:r>
        <w:fldChar w:fldCharType="begin"/>
      </w:r>
      <w:r>
        <w:instrText xml:space="preserve">HYPERLINK "http://www.аdm44.ru"</w:instrText>
      </w:r>
      <w:r>
        <w:fldChar w:fldCharType="separate"/>
      </w:r>
      <w:r>
        <w:rPr>
          <w:sz w:val="28"/>
          <w:szCs w:val="28"/>
        </w:rPr>
        <w:t xml:space="preserve">www.аdm44.ru</w:t>
      </w:r>
      <w:r>
        <w:fldChar w:fldCharType="end"/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Признать утратившим силу распоряжение департамента имущественных и земельных отношений Костромской области от                    13 октября </w:t>
      </w:r>
      <w:r>
        <w:rPr>
          <w:sz w:val="28"/>
          <w:szCs w:val="28"/>
        </w:rPr>
        <w:t xml:space="preserve">20</w:t>
      </w:r>
      <w:r>
        <w:rPr>
          <w:sz w:val="28"/>
          <w:szCs w:val="28"/>
        </w:rPr>
        <w:t xml:space="preserve">25</w:t>
      </w:r>
      <w:r>
        <w:rPr>
          <w:sz w:val="28"/>
          <w:szCs w:val="28"/>
        </w:rPr>
        <w:t xml:space="preserve"> года № 908 </w:t>
      </w:r>
      <w:r>
        <w:rPr>
          <w:sz w:val="28"/>
          <w:szCs w:val="28"/>
        </w:rPr>
        <w:t xml:space="preserve">«Об условиях приватизации находящегося в го</w:t>
      </w:r>
      <w:r>
        <w:rPr>
          <w:sz w:val="28"/>
          <w:szCs w:val="28"/>
        </w:rPr>
        <w:t xml:space="preserve">су</w:t>
      </w:r>
      <w:r>
        <w:rPr>
          <w:sz w:val="28"/>
          <w:szCs w:val="28"/>
        </w:rPr>
        <w:t xml:space="preserve">дарственной собственно</w:t>
      </w:r>
      <w:r>
        <w:rPr>
          <w:sz w:val="28"/>
          <w:szCs w:val="28"/>
        </w:rPr>
        <w:t xml:space="preserve">сти Костромской области имущества»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</w:t>
      </w:r>
      <w:r>
        <w:rPr>
          <w:sz w:val="28"/>
          <w:szCs w:val="28"/>
        </w:rPr>
        <w:t xml:space="preserve">ящего распоряжения возложить на </w:t>
      </w:r>
      <w:r>
        <w:rPr>
          <w:sz w:val="28"/>
          <w:szCs w:val="28"/>
        </w:rPr>
        <w:t xml:space="preserve">начальника о</w:t>
      </w:r>
      <w:r>
        <w:rPr>
          <w:sz w:val="28"/>
          <w:szCs w:val="28"/>
        </w:rPr>
        <w:t xml:space="preserve">тдела управле</w:t>
      </w:r>
      <w:r>
        <w:rPr>
          <w:sz w:val="28"/>
          <w:szCs w:val="28"/>
        </w:rPr>
        <w:t xml:space="preserve">ния областной собственностью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департамента имущественных и земельных отношений</w:t>
      </w:r>
      <w:r>
        <w:rPr>
          <w:sz w:val="28"/>
          <w:szCs w:val="28"/>
        </w:rPr>
        <w:t xml:space="preserve"> Костр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мской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right="141"/>
        <w:jc w:val="both"/>
        <w:tabs>
          <w:tab w:val="left" w:pos="921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right="141"/>
        <w:jc w:val="both"/>
        <w:tabs>
          <w:tab w:val="left" w:pos="9214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right="141"/>
        <w:jc w:val="both"/>
        <w:tabs>
          <w:tab w:val="left" w:pos="9214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</w:rPr>
      </w:r>
      <w:r>
        <w:rPr>
          <w:sz w:val="28"/>
          <w:szCs w:val="28"/>
        </w:rPr>
        <w:t xml:space="preserve">Исполняющий обязанности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pStyle w:val="851"/>
      </w:pPr>
      <w:r>
        <w:rPr>
          <w:sz w:val="28"/>
          <w:szCs w:val="28"/>
        </w:rPr>
        <w:t xml:space="preserve">директора деп</w:t>
      </w:r>
      <w:r>
        <w:rPr>
          <w:sz w:val="28"/>
          <w:szCs w:val="28"/>
        </w:rPr>
        <w:t xml:space="preserve">артамента                                                                М.А. Иванова</w:t>
      </w:r>
      <w:r/>
      <w:r/>
    </w:p>
    <w:p>
      <w:pPr>
        <w:pStyle w:val="851"/>
      </w:pPr>
      <w:r/>
      <w:r/>
      <w:r/>
    </w:p>
    <w:p>
      <w:pPr>
        <w:pStyle w:val="851"/>
        <w:ind w:right="-1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1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51"/>
        <w:ind w:firstLine="709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51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51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51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51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51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51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51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51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51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51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51"/>
        <w:ind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pPr>
      <w:r>
        <w:rPr>
          <w:rFonts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51"/>
        <w:jc w:val="center"/>
      </w:pPr>
      <w:r/>
      <w:r/>
    </w:p>
    <w:sectPr>
      <w:footnotePr/>
      <w:endnotePr/>
      <w:type w:val="oddPage"/>
      <w:pgSz w:w="11906" w:h="16838" w:orient="portrait"/>
      <w:pgMar w:top="822" w:right="1276" w:bottom="569" w:left="1559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Arial">
    <w:panose1 w:val="020B0604020202020204"/>
  </w:font>
  <w:font w:name="Tahoma">
    <w:panose1 w:val="020B0604030504040204"/>
  </w:font>
  <w:font w:name="Courier New">
    <w:panose1 w:val="02070309020205020404"/>
  </w:font>
  <w:font w:name="Lohit Devanagari">
    <w:panose1 w:val="020B0600000000000000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Tahoma" w:cs="Lohit Devanagari"/>
        <w:sz w:val="22"/>
        <w:szCs w:val="22"/>
        <w:lang w:val="ru-RU" w:eastAsia="en-US" w:bidi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5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5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6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8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8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8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8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8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68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68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9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69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69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69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69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69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69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9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69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69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0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0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1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1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2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2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2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2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2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3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4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4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4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4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5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5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5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5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5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5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5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5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5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5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6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6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6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6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6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6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6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6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6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6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7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7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7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7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7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7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80" w:default="1">
    <w:name w:val="Normal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781">
    <w:name w:val="Heading 1"/>
    <w:basedOn w:val="851"/>
    <w:uiPriority w:val="9"/>
    <w:qFormat/>
    <w:pPr>
      <w:jc w:val="center"/>
      <w:keepNext/>
      <w:spacing w:before="180" w:after="0"/>
      <w:outlineLvl w:val="0"/>
    </w:pPr>
    <w:rPr>
      <w:b/>
      <w:bCs/>
    </w:rPr>
  </w:style>
  <w:style w:type="paragraph" w:styleId="782">
    <w:name w:val="Heading 2"/>
    <w:basedOn w:val="851"/>
    <w:uiPriority w:val="9"/>
    <w:unhideWhenUsed/>
    <w:qFormat/>
    <w:pPr>
      <w:keepNext/>
      <w:outlineLvl w:val="1"/>
    </w:pPr>
    <w:rPr>
      <w:b/>
      <w:bCs/>
    </w:rPr>
  </w:style>
  <w:style w:type="paragraph" w:styleId="783">
    <w:name w:val="Heading 3"/>
    <w:basedOn w:val="851"/>
    <w:uiPriority w:val="9"/>
    <w:unhideWhenUsed/>
    <w:qFormat/>
    <w:pPr>
      <w:ind w:left="1026"/>
      <w:keepNext/>
      <w:outlineLvl w:val="2"/>
    </w:pPr>
    <w:rPr>
      <w:sz w:val="28"/>
      <w:szCs w:val="28"/>
    </w:rPr>
  </w:style>
  <w:style w:type="paragraph" w:styleId="784">
    <w:name w:val="Heading 4"/>
    <w:basedOn w:val="851"/>
    <w:uiPriority w:val="9"/>
    <w:unhideWhenUsed/>
    <w:qFormat/>
    <w:pPr>
      <w:ind w:left="317"/>
      <w:keepNext/>
      <w:outlineLvl w:val="3"/>
    </w:pPr>
    <w:rPr>
      <w:sz w:val="28"/>
      <w:szCs w:val="28"/>
    </w:rPr>
  </w:style>
  <w:style w:type="paragraph" w:styleId="785">
    <w:name w:val="Heading 5"/>
    <w:basedOn w:val="851"/>
    <w:uiPriority w:val="9"/>
    <w:unhideWhenUsed/>
    <w:qFormat/>
    <w:pPr>
      <w:jc w:val="both"/>
      <w:keepNext/>
      <w:outlineLvl w:val="4"/>
    </w:pPr>
    <w:rPr>
      <w:sz w:val="28"/>
      <w:szCs w:val="28"/>
    </w:rPr>
  </w:style>
  <w:style w:type="paragraph" w:styleId="786">
    <w:name w:val="Heading 6"/>
    <w:basedOn w:val="851"/>
    <w:uiPriority w:val="9"/>
    <w:unhideWhenUsed/>
    <w:qFormat/>
    <w:pPr>
      <w:jc w:val="center"/>
      <w:keepNext/>
      <w:outlineLvl w:val="5"/>
    </w:pPr>
    <w:rPr>
      <w:b/>
      <w:bCs/>
      <w:sz w:val="24"/>
      <w:szCs w:val="24"/>
    </w:rPr>
  </w:style>
  <w:style w:type="paragraph" w:styleId="787">
    <w:name w:val="Heading 7"/>
    <w:basedOn w:val="851"/>
    <w:uiPriority w:val="9"/>
    <w:unhideWhenUsed/>
    <w:qFormat/>
    <w:pPr>
      <w:ind w:firstLine="851"/>
      <w:jc w:val="both"/>
      <w:keepNext/>
      <w:spacing w:line="360" w:lineRule="auto"/>
      <w:outlineLvl w:val="6"/>
    </w:pPr>
    <w:rPr>
      <w:b/>
      <w:bCs/>
      <w:sz w:val="26"/>
      <w:szCs w:val="26"/>
    </w:rPr>
  </w:style>
  <w:style w:type="paragraph" w:styleId="788">
    <w:name w:val="Heading 8"/>
    <w:basedOn w:val="851"/>
    <w:uiPriority w:val="9"/>
    <w:unhideWhenUsed/>
    <w:qFormat/>
    <w:pPr>
      <w:keepNext/>
      <w:outlineLvl w:val="7"/>
    </w:pPr>
    <w:rPr>
      <w:sz w:val="28"/>
      <w:szCs w:val="28"/>
    </w:rPr>
  </w:style>
  <w:style w:type="paragraph" w:styleId="789">
    <w:name w:val="Heading 9"/>
    <w:basedOn w:val="851"/>
    <w:uiPriority w:val="9"/>
    <w:unhideWhenUsed/>
    <w:qFormat/>
    <w:pPr>
      <w:jc w:val="both"/>
      <w:keepNext/>
      <w:outlineLvl w:val="8"/>
    </w:pPr>
    <w:rPr>
      <w:sz w:val="24"/>
      <w:szCs w:val="24"/>
    </w:rPr>
  </w:style>
  <w:style w:type="character" w:styleId="790">
    <w:name w:val="Endnote Text Char"/>
    <w:uiPriority w:val="99"/>
    <w:qFormat/>
    <w:rPr>
      <w:sz w:val="20"/>
    </w:rPr>
  </w:style>
  <w:style w:type="character" w:styleId="791">
    <w:name w:val="Символ концевой сноски"/>
    <w:basedOn w:val="821"/>
    <w:uiPriority w:val="99"/>
    <w:semiHidden/>
    <w:unhideWhenUsed/>
    <w:qFormat/>
    <w:rPr>
      <w:vertAlign w:val="superscript"/>
    </w:rPr>
  </w:style>
  <w:style w:type="character" w:styleId="792">
    <w:name w:val="endnote reference"/>
    <w:rPr>
      <w:vertAlign w:val="superscript"/>
    </w:rPr>
  </w:style>
  <w:style w:type="character" w:styleId="793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94">
    <w:name w:val="Heading 2 Char"/>
    <w:uiPriority w:val="9"/>
    <w:qFormat/>
    <w:rPr>
      <w:rFonts w:ascii="Arial" w:hAnsi="Arial" w:eastAsia="Arial" w:cs="Arial"/>
      <w:sz w:val="34"/>
    </w:rPr>
  </w:style>
  <w:style w:type="character" w:styleId="795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96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97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98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9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00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0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02">
    <w:name w:val="Title Char"/>
    <w:uiPriority w:val="10"/>
    <w:qFormat/>
    <w:rPr>
      <w:sz w:val="48"/>
      <w:szCs w:val="48"/>
    </w:rPr>
  </w:style>
  <w:style w:type="character" w:styleId="803">
    <w:name w:val="Subtitle Char"/>
    <w:uiPriority w:val="11"/>
    <w:qFormat/>
    <w:rPr>
      <w:sz w:val="24"/>
      <w:szCs w:val="24"/>
    </w:rPr>
  </w:style>
  <w:style w:type="character" w:styleId="804">
    <w:name w:val="Quote Char"/>
    <w:uiPriority w:val="29"/>
    <w:qFormat/>
    <w:rPr>
      <w:i/>
    </w:rPr>
  </w:style>
  <w:style w:type="character" w:styleId="805">
    <w:name w:val="Intense Quote Char"/>
    <w:uiPriority w:val="30"/>
    <w:qFormat/>
    <w:rPr>
      <w:i/>
    </w:rPr>
  </w:style>
  <w:style w:type="character" w:styleId="806">
    <w:name w:val="Header Char"/>
    <w:uiPriority w:val="99"/>
    <w:qFormat/>
  </w:style>
  <w:style w:type="character" w:styleId="807">
    <w:name w:val="Footer Char"/>
    <w:uiPriority w:val="99"/>
    <w:qFormat/>
  </w:style>
  <w:style w:type="character" w:styleId="808">
    <w:name w:val="Caption Char"/>
    <w:uiPriority w:val="99"/>
    <w:qFormat/>
  </w:style>
  <w:style w:type="character" w:styleId="809">
    <w:name w:val="Hyperlink"/>
    <w:uiPriority w:val="99"/>
    <w:unhideWhenUsed/>
    <w:rPr>
      <w:color w:val="0000ff" w:themeColor="hyperlink"/>
      <w:u w:val="single"/>
    </w:rPr>
  </w:style>
  <w:style w:type="character" w:styleId="810">
    <w:name w:val="Footnote Text Char"/>
    <w:uiPriority w:val="99"/>
    <w:qFormat/>
    <w:rPr>
      <w:sz w:val="18"/>
    </w:rPr>
  </w:style>
  <w:style w:type="character" w:styleId="811">
    <w:name w:val="Символ сноски"/>
    <w:uiPriority w:val="99"/>
    <w:unhideWhenUsed/>
    <w:qFormat/>
    <w:rPr>
      <w:vertAlign w:val="superscript"/>
    </w:rPr>
  </w:style>
  <w:style w:type="character" w:styleId="812">
    <w:name w:val="footnote reference"/>
    <w:rPr>
      <w:vertAlign w:val="superscript"/>
    </w:rPr>
  </w:style>
  <w:style w:type="character" w:styleId="813">
    <w:name w:val="Основной шрифт абзаца"/>
    <w:semiHidden/>
    <w:qFormat/>
  </w:style>
  <w:style w:type="character" w:styleId="814">
    <w:name w:val="Page Number"/>
    <w:basedOn w:val="813"/>
  </w:style>
  <w:style w:type="character" w:styleId="815">
    <w:name w:val="Гиперссылка"/>
    <w:qFormat/>
    <w:rPr>
      <w:color w:val="0000ff"/>
      <w:u w:val="single"/>
    </w:rPr>
  </w:style>
  <w:style w:type="character" w:styleId="816">
    <w:name w:val="Заголовок 3 Знак"/>
    <w:qFormat/>
    <w:rPr>
      <w:sz w:val="28"/>
      <w:szCs w:val="28"/>
    </w:rPr>
  </w:style>
  <w:style w:type="character" w:styleId="817">
    <w:name w:val="Основной текст Знак"/>
    <w:qFormat/>
    <w:rPr>
      <w:sz w:val="28"/>
      <w:szCs w:val="28"/>
    </w:rPr>
  </w:style>
  <w:style w:type="character" w:styleId="818">
    <w:name w:val="Верхний колонтитул Знак"/>
    <w:basedOn w:val="813"/>
    <w:qFormat/>
  </w:style>
  <w:style w:type="character" w:styleId="819">
    <w:name w:val="Основной текст с отступом 3 Знак"/>
    <w:qFormat/>
    <w:rPr>
      <w:sz w:val="28"/>
      <w:szCs w:val="28"/>
    </w:rPr>
  </w:style>
  <w:style w:type="character" w:styleId="820">
    <w:name w:val="Основной текст 3 Знак"/>
    <w:qFormat/>
    <w:rPr>
      <w:sz w:val="28"/>
      <w:szCs w:val="28"/>
    </w:rPr>
  </w:style>
  <w:style w:type="character" w:styleId="821" w:default="1">
    <w:name w:val="Default Paragraph Font"/>
    <w:uiPriority w:val="1"/>
    <w:semiHidden/>
    <w:unhideWhenUsed/>
    <w:qFormat/>
  </w:style>
  <w:style w:type="character" w:styleId="822">
    <w:name w:val="FollowedHyperlink"/>
    <w:rPr>
      <w:color w:val="800000"/>
      <w:u w:val="single"/>
    </w:rPr>
  </w:style>
  <w:style w:type="paragraph" w:styleId="823">
    <w:name w:val="Заголовок"/>
    <w:basedOn w:val="780"/>
    <w:next w:val="824"/>
    <w:qFormat/>
    <w:pPr>
      <w:keepNext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824">
    <w:name w:val="Body Text"/>
    <w:basedOn w:val="851"/>
    <w:pPr>
      <w:jc w:val="center"/>
    </w:pPr>
    <w:rPr>
      <w:sz w:val="28"/>
      <w:szCs w:val="28"/>
    </w:rPr>
  </w:style>
  <w:style w:type="paragraph" w:styleId="825">
    <w:name w:val="List"/>
    <w:basedOn w:val="824"/>
    <w:rPr>
      <w:rFonts w:cs="Lohit Devanagari"/>
    </w:rPr>
  </w:style>
  <w:style w:type="paragraph" w:styleId="826">
    <w:name w:val="Caption"/>
    <w:link w:val="808"/>
    <w:uiPriority w:val="35"/>
    <w:semiHidden/>
    <w:unhideWhenUsed/>
    <w:qFormat/>
    <w:pPr>
      <w:jc w:val="left"/>
      <w:spacing w:before="0" w:after="0" w:line="276" w:lineRule="auto"/>
      <w:widowControl/>
    </w:pPr>
    <w:rPr>
      <w:rFonts w:ascii="Times New Roman" w:hAnsi="Times New Roman" w:eastAsia="Tahoma" w:cs="Lohit Devanagari"/>
      <w:b/>
      <w:bCs/>
      <w:color w:val="4f81bd" w:themeColor="accent1"/>
      <w:sz w:val="18"/>
      <w:szCs w:val="18"/>
      <w:lang w:val="ru-RU" w:eastAsia="en-US" w:bidi="en-US"/>
    </w:rPr>
  </w:style>
  <w:style w:type="paragraph" w:styleId="827">
    <w:name w:val="Указатель"/>
    <w:basedOn w:val="780"/>
    <w:qFormat/>
    <w:pPr>
      <w:suppressLineNumbers/>
    </w:pPr>
    <w:rPr>
      <w:rFonts w:cs="Lohit Devanagari"/>
    </w:rPr>
  </w:style>
  <w:style w:type="paragraph" w:styleId="828">
    <w:name w:val="table of figures"/>
    <w:basedOn w:val="780"/>
    <w:uiPriority w:val="99"/>
    <w:unhideWhenUsed/>
    <w:pPr>
      <w:spacing w:before="0" w:after="0" w:afterAutospacing="0"/>
    </w:pPr>
  </w:style>
  <w:style w:type="paragraph" w:styleId="829">
    <w:name w:val="endnote text"/>
    <w:basedOn w:val="780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830">
    <w:name w:val="List Paragraph"/>
    <w:uiPriority w:val="34"/>
    <w:qFormat/>
    <w:pPr>
      <w:contextualSpacing/>
      <w:ind w:left="720"/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31">
    <w:name w:val="No Spacing"/>
    <w:uiPriority w:val="1"/>
    <w:qFormat/>
    <w:pPr>
      <w:jc w:val="left"/>
      <w:spacing w:before="0" w:after="0" w:line="240" w:lineRule="auto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32">
    <w:name w:val="Title"/>
    <w:uiPriority w:val="10"/>
    <w:qFormat/>
    <w:pPr>
      <w:contextualSpacing/>
      <w:jc w:val="left"/>
      <w:spacing w:before="300" w:after="200"/>
      <w:widowControl/>
    </w:pPr>
    <w:rPr>
      <w:rFonts w:ascii="Times New Roman" w:hAnsi="Times New Roman" w:eastAsia="Tahoma" w:cs="Lohit Devanagari"/>
      <w:color w:val="auto"/>
      <w:sz w:val="48"/>
      <w:szCs w:val="48"/>
      <w:lang w:val="ru-RU" w:eastAsia="en-US" w:bidi="en-US"/>
    </w:rPr>
  </w:style>
  <w:style w:type="paragraph" w:styleId="833">
    <w:name w:val="Subtitle"/>
    <w:uiPriority w:val="11"/>
    <w:qFormat/>
    <w:pPr>
      <w:jc w:val="left"/>
      <w:spacing w:before="200" w:after="200"/>
      <w:widowControl/>
    </w:pPr>
    <w:rPr>
      <w:rFonts w:ascii="Times New Roman" w:hAnsi="Times New Roman" w:eastAsia="Tahoma" w:cs="Lohit Devanagari"/>
      <w:color w:val="auto"/>
      <w:sz w:val="24"/>
      <w:szCs w:val="24"/>
      <w:lang w:val="ru-RU" w:eastAsia="en-US" w:bidi="en-US"/>
    </w:rPr>
  </w:style>
  <w:style w:type="paragraph" w:styleId="834">
    <w:name w:val="Quote"/>
    <w:uiPriority w:val="29"/>
    <w:qFormat/>
    <w:pPr>
      <w:ind w:left="720" w:right="720"/>
      <w:jc w:val="left"/>
      <w:spacing w:before="0" w:after="0"/>
      <w:widowControl/>
    </w:pPr>
    <w:rPr>
      <w:rFonts w:ascii="Times New Roman" w:hAnsi="Times New Roman" w:eastAsia="Tahoma" w:cs="Lohit Devanagari"/>
      <w:i/>
      <w:color w:val="auto"/>
      <w:sz w:val="22"/>
      <w:szCs w:val="22"/>
      <w:lang w:val="ru-RU" w:eastAsia="en-US" w:bidi="en-US"/>
    </w:rPr>
  </w:style>
  <w:style w:type="paragraph" w:styleId="835">
    <w:name w:val="Intense Quote"/>
    <w:uiPriority w:val="30"/>
    <w:qFormat/>
    <w:pPr>
      <w:ind w:left="720" w:right="720"/>
      <w:jc w:val="left"/>
      <w:spacing w:before="0" w:after="0"/>
      <w:shd w:val="clear" w:color="f2f2f2" w:fill="f2f2f2"/>
      <w:widowControl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rFonts w:ascii="Times New Roman" w:hAnsi="Times New Roman" w:eastAsia="Tahoma" w:cs="Lohit Devanagari"/>
      <w:i/>
      <w:color w:val="auto"/>
      <w:sz w:val="22"/>
      <w:szCs w:val="22"/>
      <w:lang w:val="ru-RU" w:eastAsia="en-US" w:bidi="en-US"/>
    </w:rPr>
  </w:style>
  <w:style w:type="paragraph" w:styleId="836">
    <w:name w:val="Колонтитул"/>
    <w:basedOn w:val="780"/>
    <w:qFormat/>
  </w:style>
  <w:style w:type="paragraph" w:styleId="837">
    <w:name w:val="Header"/>
    <w:basedOn w:val="851"/>
    <w:uiPriority w:val="99"/>
    <w:unhideWhenUsed/>
    <w:pPr>
      <w:tabs>
        <w:tab w:val="clear" w:pos="720" w:leader="none"/>
        <w:tab w:val="center" w:pos="4153" w:leader="none"/>
        <w:tab w:val="right" w:pos="8306" w:leader="none"/>
      </w:tabs>
    </w:pPr>
  </w:style>
  <w:style w:type="paragraph" w:styleId="838">
    <w:name w:val="Footer"/>
    <w:basedOn w:val="851"/>
    <w:uiPriority w:val="99"/>
    <w:unhideWhenUsed/>
    <w:pPr>
      <w:tabs>
        <w:tab w:val="clear" w:pos="720" w:leader="none"/>
        <w:tab w:val="center" w:pos="4153" w:leader="none"/>
        <w:tab w:val="right" w:pos="8306" w:leader="none"/>
      </w:tabs>
    </w:pPr>
  </w:style>
  <w:style w:type="paragraph" w:styleId="839">
    <w:name w:val="footnote text"/>
    <w:uiPriority w:val="99"/>
    <w:semiHidden/>
    <w:unhideWhenUsed/>
    <w:pPr>
      <w:jc w:val="left"/>
      <w:spacing w:before="0" w:after="40" w:line="240" w:lineRule="auto"/>
      <w:widowControl/>
    </w:pPr>
    <w:rPr>
      <w:rFonts w:ascii="Times New Roman" w:hAnsi="Times New Roman" w:eastAsia="Tahoma" w:cs="Lohit Devanagari"/>
      <w:color w:val="auto"/>
      <w:sz w:val="18"/>
      <w:szCs w:val="22"/>
      <w:lang w:val="ru-RU" w:eastAsia="en-US" w:bidi="en-US"/>
    </w:rPr>
  </w:style>
  <w:style w:type="paragraph" w:styleId="840">
    <w:name w:val="toc 1"/>
    <w:uiPriority w:val="39"/>
    <w:unhideWhenUsed/>
    <w:pPr>
      <w:ind w:left="0" w:right="0" w:firstLine="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41">
    <w:name w:val="toc 2"/>
    <w:uiPriority w:val="39"/>
    <w:unhideWhenUsed/>
    <w:pPr>
      <w:ind w:left="283" w:right="0" w:firstLine="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42">
    <w:name w:val="toc 3"/>
    <w:uiPriority w:val="39"/>
    <w:unhideWhenUsed/>
    <w:pPr>
      <w:ind w:left="567" w:right="0" w:firstLine="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43">
    <w:name w:val="toc 4"/>
    <w:uiPriority w:val="39"/>
    <w:unhideWhenUsed/>
    <w:pPr>
      <w:ind w:left="850" w:right="0" w:firstLine="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44">
    <w:name w:val="toc 5"/>
    <w:uiPriority w:val="39"/>
    <w:unhideWhenUsed/>
    <w:pPr>
      <w:ind w:left="1134" w:right="0" w:firstLine="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45">
    <w:name w:val="toc 6"/>
    <w:uiPriority w:val="39"/>
    <w:unhideWhenUsed/>
    <w:pPr>
      <w:ind w:left="1417" w:right="0" w:firstLine="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46">
    <w:name w:val="toc 7"/>
    <w:uiPriority w:val="39"/>
    <w:unhideWhenUsed/>
    <w:pPr>
      <w:ind w:left="1701" w:right="0" w:firstLine="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47">
    <w:name w:val="toc 8"/>
    <w:uiPriority w:val="39"/>
    <w:unhideWhenUsed/>
    <w:pPr>
      <w:ind w:left="1984" w:right="0" w:firstLine="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48">
    <w:name w:val="toc 9"/>
    <w:uiPriority w:val="39"/>
    <w:unhideWhenUsed/>
    <w:pPr>
      <w:ind w:left="2268" w:right="0" w:firstLine="0"/>
      <w:jc w:val="left"/>
      <w:spacing w:before="0" w:after="57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49">
    <w:name w:val="Index Heading"/>
    <w:basedOn w:val="823"/>
  </w:style>
  <w:style w:type="paragraph" w:styleId="850">
    <w:name w:val="TOC Heading"/>
    <w:uiPriority w:val="39"/>
    <w:unhideWhenUsed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en-US" w:bidi="en-US"/>
    </w:rPr>
  </w:style>
  <w:style w:type="paragraph" w:styleId="851">
    <w:name w:val="Обычный"/>
    <w:qFormat/>
    <w:pPr>
      <w:jc w:val="left"/>
      <w:spacing w:before="0" w:after="0"/>
      <w:widowControl/>
    </w:pPr>
    <w:rPr>
      <w:rFonts w:ascii="Times New Roman" w:hAnsi="Times New Roman" w:eastAsia="Tahoma" w:cs="Lohit Devanagari"/>
      <w:color w:val="auto"/>
      <w:sz w:val="22"/>
      <w:szCs w:val="22"/>
      <w:lang w:val="ru-RU" w:eastAsia="ru-RU" w:bidi="ar-SA"/>
    </w:rPr>
  </w:style>
  <w:style w:type="paragraph" w:styleId="852">
    <w:name w:val="FR1"/>
    <w:qFormat/>
    <w:pPr>
      <w:jc w:val="left"/>
      <w:spacing w:before="240" w:after="0"/>
      <w:widowControl w:val="off"/>
    </w:pPr>
    <w:rPr>
      <w:rFonts w:ascii="Arial" w:hAnsi="Arial" w:eastAsia="Tahoma" w:cs="Lohit Devanagari"/>
      <w:color w:val="auto"/>
      <w:sz w:val="16"/>
      <w:szCs w:val="16"/>
      <w:lang w:val="ru-RU" w:eastAsia="ru-RU" w:bidi="ar-SA"/>
    </w:rPr>
  </w:style>
  <w:style w:type="paragraph" w:styleId="853">
    <w:name w:val="Body Text Indent"/>
    <w:basedOn w:val="851"/>
    <w:pPr>
      <w:ind w:firstLine="720"/>
      <w:jc w:val="both"/>
    </w:pPr>
    <w:rPr>
      <w:sz w:val="24"/>
      <w:szCs w:val="24"/>
    </w:rPr>
  </w:style>
  <w:style w:type="paragraph" w:styleId="854">
    <w:name w:val="Основной текст 3"/>
    <w:basedOn w:val="851"/>
    <w:qFormat/>
    <w:rPr>
      <w:sz w:val="28"/>
      <w:szCs w:val="28"/>
    </w:rPr>
  </w:style>
  <w:style w:type="paragraph" w:styleId="855">
    <w:name w:val="Основной текст с отступом 2"/>
    <w:basedOn w:val="851"/>
    <w:qFormat/>
    <w:pPr>
      <w:ind w:left="317"/>
    </w:pPr>
    <w:rPr>
      <w:sz w:val="24"/>
      <w:szCs w:val="24"/>
    </w:rPr>
  </w:style>
  <w:style w:type="paragraph" w:styleId="856">
    <w:name w:val="Основной текст с отступом 3"/>
    <w:basedOn w:val="851"/>
    <w:qFormat/>
    <w:pPr>
      <w:ind w:firstLine="993"/>
      <w:jc w:val="both"/>
      <w:keepNext/>
      <w:spacing w:before="240" w:after="0" w:line="360" w:lineRule="auto"/>
      <w:tabs>
        <w:tab w:val="clear" w:pos="720" w:leader="none"/>
        <w:tab w:val="left" w:pos="9072" w:leader="none"/>
      </w:tabs>
      <w:outlineLvl w:val="1"/>
    </w:pPr>
    <w:rPr>
      <w:sz w:val="28"/>
      <w:szCs w:val="28"/>
    </w:rPr>
  </w:style>
  <w:style w:type="paragraph" w:styleId="857">
    <w:name w:val="Название объекта"/>
    <w:basedOn w:val="851"/>
    <w:qFormat/>
    <w:pPr>
      <w:ind w:firstLine="708"/>
      <w:jc w:val="center"/>
    </w:pPr>
    <w:rPr>
      <w:sz w:val="28"/>
      <w:szCs w:val="28"/>
    </w:rPr>
  </w:style>
  <w:style w:type="paragraph" w:styleId="858">
    <w:name w:val="Текст выноски"/>
    <w:basedOn w:val="851"/>
    <w:semiHidden/>
    <w:qFormat/>
    <w:rPr>
      <w:rFonts w:ascii="Tahoma" w:hAnsi="Tahoma"/>
      <w:sz w:val="16"/>
      <w:szCs w:val="16"/>
    </w:rPr>
  </w:style>
  <w:style w:type="paragraph" w:styleId="859">
    <w:name w:val="ConsPlusNormal"/>
    <w:qFormat/>
    <w:pPr>
      <w:ind w:firstLine="720"/>
      <w:jc w:val="left"/>
      <w:spacing w:before="0" w:after="0"/>
      <w:widowControl w:val="off"/>
    </w:pPr>
    <w:rPr>
      <w:rFonts w:ascii="Arial" w:hAnsi="Arial" w:eastAsia="Tahoma" w:cs="Lohit Devanagari"/>
      <w:color w:val="auto"/>
      <w:sz w:val="22"/>
      <w:szCs w:val="22"/>
      <w:lang w:val="ru-RU" w:eastAsia="ru-RU" w:bidi="ar-SA"/>
    </w:rPr>
  </w:style>
  <w:style w:type="paragraph" w:styleId="860">
    <w:name w:val="ConsPlusNonformat"/>
    <w:qFormat/>
    <w:pPr>
      <w:jc w:val="left"/>
      <w:spacing w:before="0" w:after="0"/>
      <w:widowControl/>
    </w:pPr>
    <w:rPr>
      <w:rFonts w:ascii="Courier New" w:hAnsi="Courier New" w:eastAsia="Tahoma" w:cs="Lohit Devanagari"/>
      <w:color w:val="auto"/>
      <w:sz w:val="22"/>
      <w:szCs w:val="22"/>
      <w:lang w:val="ru-RU" w:eastAsia="ru-RU" w:bidi="ar-SA"/>
    </w:rPr>
  </w:style>
  <w:style w:type="numbering" w:styleId="861">
    <w:name w:val="Нет списка"/>
    <w:semiHidden/>
    <w:qFormat/>
  </w:style>
  <w:style w:type="numbering" w:styleId="862" w:default="1">
    <w:name w:val="No List"/>
    <w:uiPriority w:val="99"/>
    <w:semiHidden/>
    <w:unhideWhenUsed/>
    <w:qFormat/>
  </w:style>
  <w:style w:type="table" w:styleId="86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/>
        <a:ln w="25400"/>
        <a:ln w="38100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Templat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lastModifiedBy>bushmanovan</cp:lastModifiedBy>
  <cp:revision>34</cp:revision>
  <dcterms:modified xsi:type="dcterms:W3CDTF">2025-12-15T09:49:58Z</dcterms:modified>
</cp:coreProperties>
</file>